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8B" w:rsidRPr="006E200F" w:rsidRDefault="004C2F8B" w:rsidP="004C2F8B">
      <w:pPr>
        <w:spacing w:after="0"/>
        <w:ind w:right="259"/>
        <w:jc w:val="right"/>
        <w:rPr>
          <w:rFonts w:ascii="Times New Roman" w:hAnsi="Times New Roman"/>
          <w:b/>
          <w:sz w:val="16"/>
          <w:szCs w:val="20"/>
        </w:rPr>
      </w:pPr>
      <w:r w:rsidRPr="006E200F">
        <w:rPr>
          <w:rFonts w:ascii="Times New Roman" w:eastAsia="Times New Roman" w:hAnsi="Times New Roman"/>
          <w:sz w:val="20"/>
          <w:szCs w:val="24"/>
        </w:rPr>
        <w:t xml:space="preserve">Załącznik nr </w:t>
      </w:r>
      <w:r w:rsidR="00F34E5C">
        <w:rPr>
          <w:rFonts w:ascii="Times New Roman" w:eastAsia="Times New Roman" w:hAnsi="Times New Roman"/>
          <w:sz w:val="20"/>
          <w:szCs w:val="24"/>
        </w:rPr>
        <w:t xml:space="preserve"> 2 </w:t>
      </w:r>
      <w:bookmarkStart w:id="0" w:name="_GoBack"/>
      <w:bookmarkEnd w:id="0"/>
      <w:r w:rsidRPr="006E200F">
        <w:rPr>
          <w:rFonts w:ascii="Times New Roman" w:eastAsia="Times New Roman" w:hAnsi="Times New Roman"/>
          <w:sz w:val="20"/>
          <w:szCs w:val="24"/>
        </w:rPr>
        <w:t xml:space="preserve">do </w:t>
      </w:r>
      <w:r>
        <w:rPr>
          <w:rFonts w:ascii="Times New Roman" w:eastAsia="Times New Roman" w:hAnsi="Times New Roman"/>
          <w:sz w:val="20"/>
          <w:szCs w:val="24"/>
        </w:rPr>
        <w:t>Umowy Inwestycyjnej Karta Produktu</w:t>
      </w:r>
    </w:p>
    <w:p w:rsidR="00AD486B" w:rsidRDefault="00AD486B">
      <w:pPr>
        <w:spacing w:after="136" w:line="259" w:lineRule="auto"/>
        <w:ind w:left="44" w:firstLine="0"/>
        <w:jc w:val="center"/>
      </w:pPr>
    </w:p>
    <w:p w:rsidR="00AD486B" w:rsidRDefault="00CF6B9F">
      <w:pPr>
        <w:spacing w:after="139" w:line="259" w:lineRule="auto"/>
        <w:ind w:left="0" w:firstLine="0"/>
        <w:jc w:val="center"/>
      </w:pPr>
      <w:r>
        <w:rPr>
          <w:b/>
        </w:rPr>
        <w:t xml:space="preserve">Karta Produktu Pożyczka Standardowa - Innowacyjna </w:t>
      </w:r>
    </w:p>
    <w:p w:rsidR="00AD486B" w:rsidRDefault="00CF6B9F">
      <w:pPr>
        <w:spacing w:after="172" w:line="259" w:lineRule="auto"/>
        <w:ind w:left="0" w:firstLine="0"/>
        <w:jc w:val="left"/>
      </w:pPr>
      <w:r>
        <w:rPr>
          <w:b/>
        </w:rPr>
        <w:t xml:space="preserve"> </w:t>
      </w:r>
    </w:p>
    <w:p w:rsidR="00AD486B" w:rsidRDefault="00CF6B9F">
      <w:pPr>
        <w:pStyle w:val="Nagwek1"/>
        <w:ind w:left="413" w:hanging="428"/>
      </w:pPr>
      <w:r>
        <w:t xml:space="preserve">Podstawowe parametry Pożyczki Standardowej - Innowacyjnej  </w:t>
      </w:r>
    </w:p>
    <w:p w:rsidR="00AD486B" w:rsidRDefault="00CF6B9F">
      <w:pPr>
        <w:numPr>
          <w:ilvl w:val="0"/>
          <w:numId w:val="1"/>
        </w:numPr>
      </w:pPr>
      <w:r>
        <w:t xml:space="preserve">Wartość Jednostkowej Pożyczki Standardowej – Innowacyjnej wynosi: </w:t>
      </w:r>
    </w:p>
    <w:p w:rsidR="00AD486B" w:rsidRDefault="00CF6B9F">
      <w:pPr>
        <w:numPr>
          <w:ilvl w:val="1"/>
          <w:numId w:val="1"/>
        </w:numPr>
        <w:spacing w:after="0" w:line="259" w:lineRule="auto"/>
        <w:ind w:right="-3" w:hanging="360"/>
      </w:pPr>
      <w:r>
        <w:t xml:space="preserve">maksymalnie do 300.000,00 PLN w ramach komponentu standardowego Pożyczki </w:t>
      </w:r>
    </w:p>
    <w:p w:rsidR="00AD486B" w:rsidRDefault="00CF6B9F">
      <w:pPr>
        <w:spacing w:after="124"/>
        <w:ind w:left="1080" w:firstLine="0"/>
      </w:pPr>
      <w:r>
        <w:t xml:space="preserve">Standardowej - Innowacyjnej; </w:t>
      </w:r>
    </w:p>
    <w:p w:rsidR="00AD486B" w:rsidRDefault="00CF6B9F">
      <w:pPr>
        <w:numPr>
          <w:ilvl w:val="1"/>
          <w:numId w:val="1"/>
        </w:numPr>
        <w:spacing w:after="128"/>
        <w:ind w:right="-3" w:hanging="360"/>
      </w:pPr>
      <w:r>
        <w:t xml:space="preserve">powyżej 300.000,00 PLN do 600.000,00 PLN w ramach komponentu innowacyjnego Pożyczki Standardowej – Innowacyjnej.  </w:t>
      </w:r>
    </w:p>
    <w:p w:rsidR="00AD486B" w:rsidRDefault="00CF6B9F">
      <w:pPr>
        <w:numPr>
          <w:ilvl w:val="0"/>
          <w:numId w:val="1"/>
        </w:numPr>
      </w:pPr>
      <w:r>
        <w:t xml:space="preserve">Wkład własny Ostatecznego Odbiorcy nie jest wymagany. </w:t>
      </w:r>
    </w:p>
    <w:p w:rsidR="00AD486B" w:rsidRDefault="00CF6B9F">
      <w:pPr>
        <w:numPr>
          <w:ilvl w:val="0"/>
          <w:numId w:val="1"/>
        </w:numPr>
      </w:pPr>
      <w:r>
        <w:t xml:space="preserve">Maksymalny termin na wypłatę całkowitej kwoty Pożyczki Standardowej - Innowacyjnej Odbiorcy wynosi 90 dni kalendarzowych od dnia zawarcia Umowy Inwestycyjnej bez względu na liczbę transz w jakich jest ona wypłacana.  </w:t>
      </w:r>
    </w:p>
    <w:p w:rsidR="00AD486B" w:rsidRDefault="00CF6B9F">
      <w:pPr>
        <w:numPr>
          <w:ilvl w:val="0"/>
          <w:numId w:val="1"/>
        </w:numPr>
      </w:pPr>
      <w:r>
        <w:t xml:space="preserve">Maksymalny okres spłaty Jednostkowej Pożyczki Standardowej - Innowacyjnej w ramach komponentu standardowego nie może być dłuższy niż 60 miesięcy, od momentu jej uruchomienia, tj. wypłaty jakiejkolwiek transzy Jednostkowej Pożyczki. Maksymalny okres spłaty Jednostkowej Pożyczki Standardowej - Innowacyjnej w ramach komponentu innowacyjnego, nie może być dłuższy niż 84 miesiące, od momentu jej uruchomienia, tj. wypłaty jakiejkolwiek transzy Jednostkowej Pożyczki. </w:t>
      </w:r>
    </w:p>
    <w:p w:rsidR="00AD486B" w:rsidRDefault="00CF6B9F">
      <w:pPr>
        <w:numPr>
          <w:ilvl w:val="0"/>
          <w:numId w:val="1"/>
        </w:numPr>
        <w:spacing w:after="125"/>
      </w:pPr>
      <w:r>
        <w:t xml:space="preserve">Pośrednik Finansowy może udzielić Ostatecznemu Odbiorcy karencji w spłacie Jednostkowej Pożyczki Standardowej - Innowacyjnej maksymalnie do 6 miesięcy od dnia jej uruchomienia albo 3-miesiecznej karencji w każdym 12-miesięcznym okresie spłaty pożyczki, przy czym karencja nie wydłuża okresu spłaty Jednostkowej Pożyczki Standardowej - Innowacyjnej, o którym mowa w pkt. 4 powyżej </w:t>
      </w:r>
    </w:p>
    <w:p w:rsidR="00AD486B" w:rsidRDefault="00CF6B9F">
      <w:pPr>
        <w:spacing w:after="172" w:line="259" w:lineRule="auto"/>
        <w:ind w:left="0" w:firstLine="0"/>
        <w:jc w:val="left"/>
      </w:pPr>
      <w:r>
        <w:rPr>
          <w:b/>
        </w:rPr>
        <w:t xml:space="preserve"> </w:t>
      </w:r>
    </w:p>
    <w:p w:rsidR="00AD486B" w:rsidRDefault="00CF6B9F">
      <w:pPr>
        <w:pStyle w:val="Nagwek1"/>
        <w:ind w:left="413" w:hanging="428"/>
      </w:pPr>
      <w:r>
        <w:t xml:space="preserve">Zasady dotyczące udzielania i udokumentowania Pożyczki Standardowej - Innowacyjnej </w:t>
      </w:r>
    </w:p>
    <w:p w:rsidR="00AD486B" w:rsidRDefault="00CF6B9F">
      <w:pPr>
        <w:numPr>
          <w:ilvl w:val="0"/>
          <w:numId w:val="2"/>
        </w:numPr>
        <w:ind w:hanging="428"/>
      </w:pPr>
      <w:r>
        <w:t>Udzielenie Jednostkowej Pożyczki Standardowej - Innowacyjnej nie może być uzależnione od zawarcia przez Ostatecznego Odbiorcę dodatkowych umów (w szczególności dotyczących zakupu dodatkowych usług, produktów finansowych lub ubezpieczeniowych) z [</w:t>
      </w:r>
      <w:r>
        <w:rPr>
          <w:i/>
        </w:rPr>
        <w:t>Nazwa Pośrednika Finansowego</w:t>
      </w:r>
      <w:r>
        <w:t>] lub podmiotem partnerskim lub powiązanym w stosunku do [</w:t>
      </w:r>
      <w:r>
        <w:rPr>
          <w:i/>
        </w:rPr>
        <w:t>Nazwa Pośrednika Finansowego</w:t>
      </w:r>
      <w:r>
        <w:t>]; powyższe nie dotyczy powszechnie występujących na rynku oraz standardowo stosowanych przez [</w:t>
      </w:r>
      <w:r>
        <w:rPr>
          <w:i/>
        </w:rPr>
        <w:t>Nazwa Pośrednika Finansowego</w:t>
      </w:r>
      <w:r>
        <w:t>] zabezpieczeń ustanawianych przez Ostatecznego Odbiorcę na rzecz [</w:t>
      </w:r>
      <w:r>
        <w:rPr>
          <w:i/>
        </w:rPr>
        <w:t>Nazwa Pośrednika Finansowego</w:t>
      </w:r>
      <w:r>
        <w:t xml:space="preserve">] w związku z zawieraną umową Pożyczki Standardowej - Innowacyjnej, z zastrzeżeniem, iż w przypadku zabezpieczenia takiego jak „cesja praw z polisy ubezpieczeniowej” Ostateczny Odbiorca ma możliwość wyboru oferty spośród ubezpieczycieli dostępnych na rynku. </w:t>
      </w:r>
    </w:p>
    <w:p w:rsidR="00AD486B" w:rsidRDefault="00CF6B9F">
      <w:pPr>
        <w:numPr>
          <w:ilvl w:val="0"/>
          <w:numId w:val="2"/>
        </w:numPr>
        <w:spacing w:after="126"/>
        <w:ind w:hanging="428"/>
      </w:pPr>
      <w:r>
        <w:t xml:space="preserve">Wydatkowanie środków Pożyczki Standardowej - Innowacyjnej musi zostać należycie udokumentowane w terminie do 90 dni od jej uruchomienia. W uzasadnionych przypadkach i na </w:t>
      </w:r>
      <w:r>
        <w:lastRenderedPageBreak/>
        <w:t xml:space="preserve">wniosek Ostatecznego Odbiorcy termin ten może uleć wydłużeniu maksymalnie o kolejne 90 dni ze względu na charakter inwestycji. Dokumentem potwierdzającym wydatkowanie środków zgodnie z celem, na jaki zostały przyznane jest faktura lub dokument równoważny, w rozumieniu przepisów prawa krajowego. Przedstawione w ramach rozliczenia dokumenty powinny w sposób jednoznaczny potwierdzać, że kwota pożyczki została wykorzystana zgodnie z przeznaczeniem, na jakie została udzielona. </w:t>
      </w:r>
    </w:p>
    <w:p w:rsidR="00AD486B" w:rsidRDefault="00CF6B9F">
      <w:pPr>
        <w:spacing w:after="136" w:line="259" w:lineRule="auto"/>
        <w:ind w:left="428" w:firstLine="0"/>
        <w:jc w:val="left"/>
      </w:pPr>
      <w:r>
        <w:t xml:space="preserve"> </w:t>
      </w:r>
    </w:p>
    <w:p w:rsidR="00AD486B" w:rsidRDefault="00CF6B9F">
      <w:pPr>
        <w:spacing w:after="172" w:line="259" w:lineRule="auto"/>
        <w:ind w:left="0" w:firstLine="0"/>
        <w:jc w:val="left"/>
      </w:pPr>
      <w:r>
        <w:rPr>
          <w:b/>
        </w:rPr>
        <w:t xml:space="preserve"> </w:t>
      </w:r>
    </w:p>
    <w:p w:rsidR="00AD486B" w:rsidRDefault="00CF6B9F">
      <w:pPr>
        <w:pStyle w:val="Nagwek1"/>
        <w:ind w:left="705" w:hanging="720"/>
      </w:pPr>
      <w:r>
        <w:t xml:space="preserve">Przeznaczenie finansowania (Cele Inwestycji) </w:t>
      </w:r>
    </w:p>
    <w:p w:rsidR="00AD486B" w:rsidRDefault="00CF6B9F">
      <w:pPr>
        <w:numPr>
          <w:ilvl w:val="0"/>
          <w:numId w:val="3"/>
        </w:numPr>
        <w:ind w:hanging="425"/>
      </w:pPr>
      <w:r>
        <w:t xml:space="preserve">W ramach Instrumentu Finansowego Pożyczki Standardowej - Innowacyjnej będą finansowane inwestycje realizowane na terenie województwa podkarpackiego polegające na wsparciu mikro, małych i średnich przedsiębiorstw, szczególnie dla projektów ukierunkowanych ogólnie na wsparcie rozwoju przedsiębiorstwa. Rozróżnia się dwa następujące komponenty Pożyczki Standardowej - Innowacyjnej:  </w:t>
      </w:r>
    </w:p>
    <w:p w:rsidR="00AD486B" w:rsidRDefault="00CF6B9F">
      <w:pPr>
        <w:numPr>
          <w:ilvl w:val="1"/>
          <w:numId w:val="3"/>
        </w:numPr>
        <w:spacing w:after="51"/>
        <w:ind w:left="1441" w:hanging="425"/>
      </w:pPr>
      <w:r>
        <w:t xml:space="preserve">Komponent standardowy - z przeznaczeniem na wsparcie przedsięwzięć rozwojowych  realizowanych przez MŚP; </w:t>
      </w:r>
    </w:p>
    <w:p w:rsidR="00AD486B" w:rsidRDefault="00CF6B9F">
      <w:pPr>
        <w:numPr>
          <w:ilvl w:val="1"/>
          <w:numId w:val="3"/>
        </w:numPr>
        <w:ind w:left="1441" w:hanging="425"/>
      </w:pPr>
      <w:r>
        <w:t xml:space="preserve">Komponent innowacyjny - z przeznaczeniem na wsparcie przedsięwzięć rozwojowych realizowanych przez MŚP w zakresie zakupu wyłącznie nowych środków trwałych wykorzystywanych w działalności gospodarczej przedsiębiorstwa. </w:t>
      </w:r>
    </w:p>
    <w:p w:rsidR="00AD486B" w:rsidRDefault="00CF6B9F">
      <w:pPr>
        <w:numPr>
          <w:ilvl w:val="0"/>
          <w:numId w:val="3"/>
        </w:numPr>
        <w:spacing w:after="127"/>
        <w:ind w:hanging="425"/>
      </w:pPr>
      <w:r>
        <w:t xml:space="preserve">Udział Jednostkowej Pożyczki w koszcie realizowanego przedsięwzięcia może stanowić do 100% jego wartości. </w:t>
      </w:r>
    </w:p>
    <w:p w:rsidR="00AD486B" w:rsidRDefault="00CF6B9F">
      <w:pPr>
        <w:spacing w:after="50" w:line="259" w:lineRule="auto"/>
        <w:ind w:left="0" w:firstLine="0"/>
        <w:jc w:val="left"/>
      </w:pPr>
      <w:r>
        <w:t xml:space="preserve"> </w:t>
      </w:r>
    </w:p>
    <w:p w:rsidR="00AD486B" w:rsidRDefault="00CF6B9F">
      <w:pPr>
        <w:pStyle w:val="Nagwek1"/>
        <w:ind w:left="413" w:hanging="428"/>
      </w:pPr>
      <w:r>
        <w:t xml:space="preserve">Wykluczenia z finansowania </w:t>
      </w:r>
    </w:p>
    <w:p w:rsidR="00AD486B" w:rsidRDefault="00CF6B9F">
      <w:pPr>
        <w:tabs>
          <w:tab w:val="center" w:pos="3946"/>
        </w:tabs>
        <w:ind w:left="0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Środki z pożyczki Standardowej - Innowacyjnej nie mogą być przeznaczone na:: </w:t>
      </w:r>
    </w:p>
    <w:p w:rsidR="00AD486B" w:rsidRDefault="00CF6B9F">
      <w:pPr>
        <w:numPr>
          <w:ilvl w:val="0"/>
          <w:numId w:val="4"/>
        </w:numPr>
        <w:ind w:hanging="427"/>
      </w:pPr>
      <w:r>
        <w:t xml:space="preserve">finansowanie wydatków pokrytych uprzednio ze środków EFSI, z innych funduszy, programów, środków i instrumentów Unii Europejskiej lub innych źródeł pomocy krajowej lub zagranicznej; </w:t>
      </w:r>
    </w:p>
    <w:p w:rsidR="00AD486B" w:rsidRDefault="00CF6B9F">
      <w:pPr>
        <w:numPr>
          <w:ilvl w:val="0"/>
          <w:numId w:val="4"/>
        </w:numPr>
        <w:ind w:hanging="427"/>
      </w:pPr>
      <w:r>
        <w:t xml:space="preserve">prefinansowanie wydatków na które otrzymano dofinansowanie w formie dotacji lub pomocy zwrotnej; </w:t>
      </w:r>
    </w:p>
    <w:p w:rsidR="00AD486B" w:rsidRDefault="00CF6B9F">
      <w:pPr>
        <w:numPr>
          <w:ilvl w:val="0"/>
          <w:numId w:val="4"/>
        </w:numPr>
        <w:ind w:hanging="427"/>
      </w:pPr>
      <w:r>
        <w:t xml:space="preserve">refinansowanie inwestycji, które w dniu podjęcia decyzji inwestycyjnej zostały fizycznie ukończone lub w pełni wdrożone; </w:t>
      </w:r>
    </w:p>
    <w:p w:rsidR="00AD486B" w:rsidRDefault="00CF6B9F">
      <w:pPr>
        <w:numPr>
          <w:ilvl w:val="0"/>
          <w:numId w:val="4"/>
        </w:numPr>
        <w:ind w:hanging="427"/>
      </w:pPr>
      <w:r>
        <w:t xml:space="preserve">refinansowanie jakichkolwiek pożyczek, kredytów lub rat leasingowych; </w:t>
      </w:r>
    </w:p>
    <w:p w:rsidR="00AD486B" w:rsidRDefault="00CF6B9F">
      <w:pPr>
        <w:numPr>
          <w:ilvl w:val="0"/>
          <w:numId w:val="4"/>
        </w:numPr>
        <w:ind w:hanging="427"/>
      </w:pPr>
      <w:r>
        <w:t xml:space="preserve">dokonanie spłaty zobowiązań </w:t>
      </w:r>
      <w:proofErr w:type="spellStart"/>
      <w:r>
        <w:t>publiczno</w:t>
      </w:r>
      <w:proofErr w:type="spellEnd"/>
      <w:r>
        <w:t xml:space="preserve"> – prawnych Ostatecznego Odbiorcy; </w:t>
      </w:r>
    </w:p>
    <w:p w:rsidR="00AD486B" w:rsidRDefault="00CF6B9F">
      <w:pPr>
        <w:numPr>
          <w:ilvl w:val="0"/>
          <w:numId w:val="4"/>
        </w:numPr>
        <w:ind w:hanging="427"/>
      </w:pPr>
      <w:r>
        <w:t xml:space="preserve">finansowanie wydatków niezwiązanych bezpośrednio z Celem Inwestycji;  </w:t>
      </w:r>
    </w:p>
    <w:p w:rsidR="00AD486B" w:rsidRDefault="00CF6B9F">
      <w:pPr>
        <w:numPr>
          <w:ilvl w:val="0"/>
          <w:numId w:val="4"/>
        </w:numPr>
        <w:ind w:hanging="427"/>
      </w:pPr>
      <w:r>
        <w:t xml:space="preserve">finansowanie zakupu aktywów finansowych przeznaczonych do obrotu; </w:t>
      </w:r>
    </w:p>
    <w:p w:rsidR="00AD486B" w:rsidRDefault="00CF6B9F">
      <w:pPr>
        <w:numPr>
          <w:ilvl w:val="0"/>
          <w:numId w:val="4"/>
        </w:numPr>
        <w:ind w:hanging="427"/>
      </w:pPr>
      <w:r>
        <w:lastRenderedPageBreak/>
        <w:t xml:space="preserve">finansowanie nieruchomości przeznaczonych do obrotu; </w:t>
      </w:r>
    </w:p>
    <w:p w:rsidR="00AD486B" w:rsidRDefault="00CF6B9F">
      <w:pPr>
        <w:numPr>
          <w:ilvl w:val="0"/>
          <w:numId w:val="4"/>
        </w:numPr>
        <w:spacing w:after="7"/>
        <w:ind w:hanging="427"/>
      </w:pPr>
      <w:r>
        <w:t xml:space="preserve">finansowanie kształcenia, szkolenia, szkolenia zawodowego pracowników lub innych przedsięwzięć bezpośrednio objętych zakresem rozporządzenia Parlamentu Europejskiego i </w:t>
      </w:r>
    </w:p>
    <w:p w:rsidR="00AD486B" w:rsidRDefault="00CF6B9F">
      <w:pPr>
        <w:ind w:left="994" w:firstLine="0"/>
      </w:pPr>
      <w:r>
        <w:t xml:space="preserve">Rady (UE) nr 1304/2013 w sprawie Europejskiego Funduszu Społecznego; </w:t>
      </w:r>
    </w:p>
    <w:p w:rsidR="00AD486B" w:rsidRDefault="00CF6B9F">
      <w:pPr>
        <w:numPr>
          <w:ilvl w:val="0"/>
          <w:numId w:val="4"/>
        </w:numPr>
        <w:ind w:hanging="427"/>
      </w:pPr>
      <w:r>
        <w:t xml:space="preserve">finansowanie działalności w zakresie wytwarzania, przetwórstwa lub wprowadzania do obrotu przez producenta lub importera tytoniu i wyrobów tytoniowych;  </w:t>
      </w:r>
    </w:p>
    <w:p w:rsidR="00AD486B" w:rsidRDefault="00CF6B9F">
      <w:pPr>
        <w:numPr>
          <w:ilvl w:val="0"/>
          <w:numId w:val="4"/>
        </w:numPr>
        <w:ind w:hanging="427"/>
      </w:pPr>
      <w:r>
        <w:t xml:space="preserve">finansowanie działalności w zakresie produkcji lub wprowadzania do obrotu przez producenta lub importera napojów alkoholowych; </w:t>
      </w:r>
    </w:p>
    <w:p w:rsidR="00AD486B" w:rsidRDefault="00CF6B9F">
      <w:pPr>
        <w:numPr>
          <w:ilvl w:val="0"/>
          <w:numId w:val="4"/>
        </w:numPr>
        <w:ind w:hanging="427"/>
      </w:pPr>
      <w:r>
        <w:t xml:space="preserve">finansowanie działalności w zakresie produkcji lub wprowadzania do obrotu przez producenta lub importera treści pornograficznych; </w:t>
      </w:r>
    </w:p>
    <w:p w:rsidR="00AD486B" w:rsidRDefault="00CF6B9F">
      <w:pPr>
        <w:numPr>
          <w:ilvl w:val="0"/>
          <w:numId w:val="4"/>
        </w:numPr>
        <w:ind w:hanging="427"/>
      </w:pPr>
      <w:r>
        <w:t xml:space="preserve">finansowanie działalności w zakresie obrotu materiałami wybuchowymi, bronią i amunicją; </w:t>
      </w:r>
    </w:p>
    <w:p w:rsidR="00AD486B" w:rsidRDefault="00CF6B9F">
      <w:pPr>
        <w:numPr>
          <w:ilvl w:val="0"/>
          <w:numId w:val="4"/>
        </w:numPr>
        <w:ind w:hanging="427"/>
      </w:pPr>
      <w:r>
        <w:t xml:space="preserve">finansowanie działalności w zakresie gier losowych, zakładów wzajemnych, gier na automatach i gier na automatach o niskich wygranych; </w:t>
      </w:r>
    </w:p>
    <w:p w:rsidR="00AD486B" w:rsidRDefault="00CF6B9F">
      <w:pPr>
        <w:numPr>
          <w:ilvl w:val="0"/>
          <w:numId w:val="4"/>
        </w:numPr>
        <w:ind w:hanging="427"/>
      </w:pPr>
      <w:r>
        <w:t xml:space="preserve">finansowanie działalności w zakresie produkcji lub wprowadzania do obrotu przez producenta lub importera środków odurzających, substancji psychotropowych lub prekursorów; </w:t>
      </w:r>
    </w:p>
    <w:p w:rsidR="00AD486B" w:rsidRDefault="00CF6B9F">
      <w:pPr>
        <w:numPr>
          <w:ilvl w:val="0"/>
          <w:numId w:val="4"/>
        </w:numPr>
        <w:ind w:hanging="427"/>
      </w:pPr>
      <w:r>
        <w:t xml:space="preserve">finansowanie likwidacji lub budowy elektrowni jądrowych; </w:t>
      </w:r>
    </w:p>
    <w:p w:rsidR="00AD486B" w:rsidRDefault="00CF6B9F">
      <w:pPr>
        <w:numPr>
          <w:ilvl w:val="0"/>
          <w:numId w:val="4"/>
        </w:numPr>
        <w:ind w:hanging="427"/>
      </w:pPr>
      <w:r>
        <w:t xml:space="preserve">finansowanie inwestycji na rzecz redukcji emisji gazów cieplarnianych pochodzących z listy działań wymienionych w załączniku I do dyrektywy 2003/87/WE; </w:t>
      </w:r>
    </w:p>
    <w:p w:rsidR="00AD486B" w:rsidRDefault="00CF6B9F">
      <w:pPr>
        <w:numPr>
          <w:ilvl w:val="0"/>
          <w:numId w:val="4"/>
        </w:numPr>
        <w:ind w:hanging="427"/>
      </w:pPr>
      <w:r>
        <w:t xml:space="preserve">finansowanie inwestycji w infrastrukturę portów lotniczych, chyba że są one związane z ochroną środowiska lub towarzyszą im inwestycje niezbędne do łagodzenia lub ograniczenia ich negatywnego oddziaływania na środowisko. </w:t>
      </w:r>
    </w:p>
    <w:p w:rsidR="00AD486B" w:rsidRDefault="00CF6B9F">
      <w:pPr>
        <w:numPr>
          <w:ilvl w:val="0"/>
          <w:numId w:val="4"/>
        </w:numPr>
        <w:spacing w:after="11"/>
        <w:ind w:hanging="427"/>
      </w:pPr>
      <w:r>
        <w:t xml:space="preserve">finansowanie sektorów wykluczonych z udzielania pomocy na podstawie Rozporządzenia </w:t>
      </w:r>
    </w:p>
    <w:p w:rsidR="00AD486B" w:rsidRDefault="00CF6B9F">
      <w:pPr>
        <w:spacing w:after="0" w:line="259" w:lineRule="auto"/>
        <w:ind w:left="10" w:right="-6" w:hanging="10"/>
        <w:jc w:val="right"/>
      </w:pPr>
      <w:r>
        <w:t xml:space="preserve">Komisji (UE) nr 1407/2013 z dnia 18 grudnia 2013 r. w sprawie stosowania art. 107 i 108 </w:t>
      </w:r>
    </w:p>
    <w:p w:rsidR="00AD486B" w:rsidRDefault="00CF6B9F">
      <w:pPr>
        <w:spacing w:after="127"/>
        <w:ind w:left="994" w:firstLine="0"/>
      </w:pPr>
      <w:r>
        <w:t xml:space="preserve">Traktatu o funkcjonowaniu Unii Europejskiej do pomocy de minimis oraz w Umowie Partnerstwa  </w:t>
      </w:r>
    </w:p>
    <w:p w:rsidR="00AD486B" w:rsidRDefault="00CF6B9F">
      <w:pPr>
        <w:spacing w:after="36" w:line="381" w:lineRule="auto"/>
        <w:ind w:left="0" w:right="8458" w:firstLine="0"/>
        <w:jc w:val="left"/>
      </w:pPr>
      <w:r>
        <w:t xml:space="preserve">  </w:t>
      </w:r>
    </w:p>
    <w:p w:rsidR="00AD486B" w:rsidRDefault="00CF6B9F">
      <w:pPr>
        <w:pStyle w:val="Nagwek1"/>
        <w:ind w:left="413" w:hanging="428"/>
      </w:pPr>
      <w:r>
        <w:t xml:space="preserve">Ograniczenia w finansowaniu </w:t>
      </w:r>
    </w:p>
    <w:p w:rsidR="00AD486B" w:rsidRDefault="00CF6B9F">
      <w:pPr>
        <w:numPr>
          <w:ilvl w:val="0"/>
          <w:numId w:val="5"/>
        </w:numPr>
        <w:ind w:hanging="428"/>
      </w:pPr>
      <w:r>
        <w:t xml:space="preserve">Finansowanie zakupu gruntów niezabudowanych i zabudowanych w ramach finansowanej inwestycji możliwe jest do wysokości 10 % środków wypłaconych na rzecz Ostatecznego Odbiorcy. </w:t>
      </w:r>
    </w:p>
    <w:p w:rsidR="00AD486B" w:rsidRDefault="00CF6B9F">
      <w:pPr>
        <w:numPr>
          <w:ilvl w:val="0"/>
          <w:numId w:val="5"/>
        </w:numPr>
        <w:ind w:hanging="428"/>
      </w:pPr>
      <w:r>
        <w:t xml:space="preserve">Jedno przedsiębiorstwo (Ostateczny Odbiorca) może otrzymać w ramach przyznanego Limitu Pożyczki Standardowej - Innowacyjnej maksymalnie jedną Jednostkową Pożyczkę </w:t>
      </w:r>
    </w:p>
    <w:p w:rsidR="00AD486B" w:rsidRDefault="00CF6B9F">
      <w:pPr>
        <w:numPr>
          <w:ilvl w:val="0"/>
          <w:numId w:val="5"/>
        </w:numPr>
        <w:ind w:hanging="428"/>
      </w:pPr>
      <w:r>
        <w:t xml:space="preserve">W ramach komponentu innowacyjnego Pożyczki Standardowo – Innowacyjnej nie jest możliwe finansowanie kapitału obrotowego.  </w:t>
      </w:r>
    </w:p>
    <w:p w:rsidR="00AD486B" w:rsidRDefault="00CF6B9F">
      <w:pPr>
        <w:numPr>
          <w:ilvl w:val="0"/>
          <w:numId w:val="5"/>
        </w:numPr>
        <w:spacing w:after="128"/>
        <w:ind w:hanging="428"/>
      </w:pPr>
      <w:r>
        <w:lastRenderedPageBreak/>
        <w:t xml:space="preserve">Środki Pożyczki Standardowej - Innowacyjnej nie mogą nakładać się finansowaniem z Europejskich Funduszy Strukturalnych i Inwestycyjnych, z innych funduszy, programów, środków i instrumentów Unii Europejskiej, a także innych źródeł pomocy krajowej i zagranicznej. </w:t>
      </w:r>
    </w:p>
    <w:p w:rsidR="00AD486B" w:rsidRDefault="00CF6B9F">
      <w:pPr>
        <w:spacing w:after="172" w:line="259" w:lineRule="auto"/>
        <w:ind w:left="0" w:firstLine="0"/>
        <w:jc w:val="left"/>
      </w:pPr>
      <w:r>
        <w:rPr>
          <w:b/>
        </w:rPr>
        <w:t xml:space="preserve"> </w:t>
      </w:r>
    </w:p>
    <w:p w:rsidR="00AD486B" w:rsidRDefault="00CF6B9F">
      <w:pPr>
        <w:pStyle w:val="Nagwek1"/>
        <w:ind w:left="413" w:hanging="428"/>
      </w:pPr>
      <w:r>
        <w:t xml:space="preserve">Zasady odpłatności za udzielenie Pożyczki Standardowej - Innowacyjnej </w:t>
      </w:r>
    </w:p>
    <w:p w:rsidR="00AD486B" w:rsidRDefault="00CF6B9F">
      <w:pPr>
        <w:tabs>
          <w:tab w:val="center" w:pos="3308"/>
        </w:tabs>
        <w:ind w:left="0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Pożyczka Standardowa - Innowacyjna może być oprocentowana: </w:t>
      </w:r>
    </w:p>
    <w:p w:rsidR="00AD486B" w:rsidRDefault="00CF6B9F">
      <w:pPr>
        <w:spacing w:after="127"/>
        <w:ind w:left="987"/>
      </w:pPr>
      <w:r>
        <w:rPr>
          <w:b/>
        </w:rPr>
        <w:t>1)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na warunkach rynkowych</w:t>
      </w:r>
      <w:r>
        <w:t xml:space="preserve">, </w:t>
      </w:r>
      <w:r>
        <w:rPr>
          <w:u w:val="single" w:color="000000"/>
        </w:rPr>
        <w:t>według stopy referencyjnej</w:t>
      </w:r>
      <w:r>
        <w:t xml:space="preserve"> obliczanej przy zastosowaniu obowiązującej stopy bazowej oraz marży ustalonej w oparciu o Komunikat Komisji Europejskiej w sprawie zmiany metody ustalania stóp referencyjnych i dyskontowych</w:t>
      </w:r>
      <w:r>
        <w:rPr>
          <w:i/>
        </w:rPr>
        <w:t xml:space="preserve"> </w:t>
      </w:r>
      <w:r>
        <w:t xml:space="preserve">(Dz. Urz. UE C 14 z 19.1.2008 r. lub komunikatu zastępującego) oraz po przeprowadzeniu analizy ryzyka niespłacenia zaciągniętego przez przedsiębiorcę zobowiązania na podstawie wdrożonej i akceptowanej w sektorze finansowym metodologii wyznaczania współczynnika ryzyka.  </w:t>
      </w:r>
    </w:p>
    <w:p w:rsidR="00AD486B" w:rsidRDefault="00CF6B9F">
      <w:pPr>
        <w:spacing w:after="129" w:line="266" w:lineRule="auto"/>
        <w:ind w:left="1004" w:hanging="10"/>
        <w:jc w:val="left"/>
      </w:pPr>
      <w:r>
        <w:rPr>
          <w:b/>
        </w:rPr>
        <w:t xml:space="preserve">Stopa bazowa publikowana jest przez Komisję Europejską w dzienniku Urzędowym Unii Europejskiej i dostępna jest na stronie:  </w:t>
      </w:r>
    </w:p>
    <w:p w:rsidR="00AD486B" w:rsidRDefault="00CF6B9F">
      <w:pPr>
        <w:spacing w:after="0" w:line="383" w:lineRule="auto"/>
        <w:ind w:left="989" w:right="1213" w:hanging="10"/>
        <w:jc w:val="left"/>
      </w:pPr>
      <w:r>
        <w:rPr>
          <w:color w:val="0000FF"/>
          <w:u w:val="single" w:color="0000FF"/>
        </w:rPr>
        <w:t>http://ec.europa.eu/competition/state_aid/legislation/reference_rates.html</w:t>
      </w:r>
      <w:hyperlink r:id="rId7">
        <w:r>
          <w:t xml:space="preserve"> </w:t>
        </w:r>
      </w:hyperlink>
      <w:r>
        <w:t xml:space="preserve">oraz </w:t>
      </w:r>
    </w:p>
    <w:p w:rsidR="00AD486B" w:rsidRDefault="00CF6B9F">
      <w:pPr>
        <w:spacing w:after="0" w:line="259" w:lineRule="auto"/>
        <w:ind w:left="989" w:right="2725" w:hanging="10"/>
        <w:jc w:val="left"/>
      </w:pPr>
      <w:r>
        <w:rPr>
          <w:color w:val="0000FF"/>
          <w:u w:val="single" w:color="0000FF"/>
        </w:rPr>
        <w:t>https://uokik.gov.pl/stopa_referencyjna_i_archiwum.php</w:t>
      </w:r>
      <w:hyperlink r:id="rId8">
        <w:r>
          <w:t xml:space="preserve"> </w:t>
        </w:r>
      </w:hyperlink>
      <w:r>
        <w:rPr>
          <w:b/>
        </w:rPr>
        <w:t xml:space="preserve">Marża jest ustalana w następujący sposób: </w:t>
      </w:r>
    </w:p>
    <w:tbl>
      <w:tblPr>
        <w:tblStyle w:val="TableGrid"/>
        <w:tblW w:w="8313" w:type="dxa"/>
        <w:tblInd w:w="1044" w:type="dxa"/>
        <w:tblCellMar>
          <w:top w:w="46" w:type="dxa"/>
          <w:right w:w="6" w:type="dxa"/>
        </w:tblCellMar>
        <w:tblLook w:val="04A0" w:firstRow="1" w:lastRow="0" w:firstColumn="1" w:lastColumn="0" w:noHBand="0" w:noVBand="1"/>
      </w:tblPr>
      <w:tblGrid>
        <w:gridCol w:w="3776"/>
        <w:gridCol w:w="1560"/>
        <w:gridCol w:w="1560"/>
        <w:gridCol w:w="1417"/>
      </w:tblGrid>
      <w:tr w:rsidR="00AD486B">
        <w:trPr>
          <w:trHeight w:val="437"/>
        </w:trPr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86B" w:rsidRDefault="00CF6B9F">
            <w:pPr>
              <w:spacing w:after="0" w:line="259" w:lineRule="auto"/>
              <w:ind w:left="2381" w:firstLine="0"/>
              <w:jc w:val="left"/>
            </w:pPr>
            <w:r>
              <w:rPr>
                <w:b/>
              </w:rPr>
              <w:t xml:space="preserve">Marża kredytów w punktach bazowych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486B" w:rsidRDefault="00AD486B">
            <w:pPr>
              <w:spacing w:after="160" w:line="259" w:lineRule="auto"/>
              <w:ind w:left="0" w:firstLine="0"/>
              <w:jc w:val="left"/>
            </w:pPr>
          </w:p>
        </w:tc>
      </w:tr>
      <w:tr w:rsidR="00AD486B">
        <w:trPr>
          <w:trHeight w:val="439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 xml:space="preserve">Kategoria ratingu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86B" w:rsidRDefault="00CF6B9F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Poziom </w:t>
            </w:r>
            <w:proofErr w:type="spellStart"/>
            <w:r>
              <w:rPr>
                <w:b/>
              </w:rPr>
              <w:t>zabezpiecze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-6" w:firstLine="0"/>
              <w:jc w:val="left"/>
            </w:pPr>
            <w:r>
              <w:rPr>
                <w:b/>
              </w:rPr>
              <w:t xml:space="preserve">ń </w:t>
            </w:r>
          </w:p>
        </w:tc>
      </w:tr>
      <w:tr w:rsidR="00AD486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AD486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Wysoki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170" w:firstLine="0"/>
              <w:jc w:val="left"/>
            </w:pPr>
            <w:r>
              <w:rPr>
                <w:b/>
              </w:rPr>
              <w:t xml:space="preserve">Standardowy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Niski </w:t>
            </w:r>
          </w:p>
        </w:tc>
      </w:tr>
      <w:tr w:rsidR="00AD486B">
        <w:trPr>
          <w:trHeight w:val="439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103" w:firstLine="0"/>
              <w:jc w:val="left"/>
            </w:pPr>
            <w:r>
              <w:t xml:space="preserve">Wysoki (AAA-A)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39" w:firstLine="0"/>
              <w:jc w:val="center"/>
            </w:pPr>
            <w:r>
              <w:t xml:space="preserve">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38" w:firstLine="0"/>
              <w:jc w:val="center"/>
            </w:pPr>
            <w:r>
              <w:t xml:space="preserve">75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39" w:firstLine="0"/>
              <w:jc w:val="center"/>
            </w:pPr>
            <w:r>
              <w:t xml:space="preserve">100 </w:t>
            </w:r>
          </w:p>
        </w:tc>
      </w:tr>
      <w:tr w:rsidR="00AD486B">
        <w:trPr>
          <w:trHeight w:val="439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103" w:firstLine="0"/>
              <w:jc w:val="left"/>
            </w:pPr>
            <w:r>
              <w:t xml:space="preserve">Dobry (BBB)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39" w:firstLine="0"/>
              <w:jc w:val="center"/>
            </w:pPr>
            <w:r>
              <w:t xml:space="preserve">75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38" w:firstLine="0"/>
              <w:jc w:val="center"/>
            </w:pPr>
            <w:r>
              <w:t xml:space="preserve">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39" w:firstLine="0"/>
              <w:jc w:val="center"/>
            </w:pPr>
            <w:r>
              <w:t xml:space="preserve">220 </w:t>
            </w:r>
          </w:p>
        </w:tc>
      </w:tr>
      <w:tr w:rsidR="00AD486B">
        <w:trPr>
          <w:trHeight w:val="439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103" w:firstLine="0"/>
              <w:jc w:val="left"/>
            </w:pPr>
            <w:r>
              <w:t xml:space="preserve">Zadowalający (BB)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39" w:firstLine="0"/>
              <w:jc w:val="center"/>
            </w:pPr>
            <w:r>
              <w:t xml:space="preserve">100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38" w:firstLine="0"/>
              <w:jc w:val="center"/>
            </w:pPr>
            <w:r>
              <w:t xml:space="preserve">220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39" w:firstLine="0"/>
              <w:jc w:val="center"/>
            </w:pPr>
            <w:r>
              <w:t xml:space="preserve">400 </w:t>
            </w:r>
          </w:p>
        </w:tc>
      </w:tr>
      <w:tr w:rsidR="00AD486B">
        <w:trPr>
          <w:trHeight w:val="439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103" w:firstLine="0"/>
              <w:jc w:val="left"/>
            </w:pPr>
            <w:r>
              <w:t xml:space="preserve">Niski (B)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39" w:firstLine="0"/>
              <w:jc w:val="center"/>
            </w:pPr>
            <w:r>
              <w:t xml:space="preserve">220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38" w:firstLine="0"/>
              <w:jc w:val="center"/>
            </w:pPr>
            <w:r>
              <w:t xml:space="preserve">400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39" w:firstLine="0"/>
              <w:jc w:val="center"/>
            </w:pPr>
            <w:r>
              <w:t xml:space="preserve">650 </w:t>
            </w:r>
          </w:p>
        </w:tc>
      </w:tr>
      <w:tr w:rsidR="00AD486B">
        <w:trPr>
          <w:trHeight w:val="439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103" w:firstLine="0"/>
              <w:jc w:val="left"/>
            </w:pPr>
            <w:r>
              <w:t xml:space="preserve">Zły/Trudności finansowe (CCC i poniżej)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39" w:firstLine="0"/>
              <w:jc w:val="center"/>
            </w:pPr>
            <w:r>
              <w:t xml:space="preserve">400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38" w:firstLine="0"/>
              <w:jc w:val="center"/>
            </w:pPr>
            <w:r>
              <w:t xml:space="preserve">650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6B" w:rsidRDefault="00CF6B9F">
            <w:pPr>
              <w:spacing w:after="0" w:line="259" w:lineRule="auto"/>
              <w:ind w:left="36" w:firstLine="0"/>
              <w:jc w:val="center"/>
            </w:pPr>
            <w:r>
              <w:t xml:space="preserve">1000 </w:t>
            </w:r>
          </w:p>
        </w:tc>
      </w:tr>
    </w:tbl>
    <w:p w:rsidR="00AD486B" w:rsidRDefault="00CF6B9F">
      <w:pPr>
        <w:spacing w:after="119" w:line="259" w:lineRule="auto"/>
        <w:ind w:left="0" w:firstLine="0"/>
        <w:jc w:val="left"/>
      </w:pPr>
      <w:r>
        <w:t xml:space="preserve"> </w:t>
      </w:r>
    </w:p>
    <w:p w:rsidR="00AD486B" w:rsidRDefault="00CF6B9F">
      <w:pPr>
        <w:spacing w:after="120" w:line="274" w:lineRule="auto"/>
        <w:ind w:left="989" w:right="135" w:hanging="10"/>
      </w:pPr>
      <w:r>
        <w:rPr>
          <w:sz w:val="20"/>
        </w:rPr>
        <w:t xml:space="preserve">Pod pojęciem „standardowy poziom zabezpieczeń” należy rozumieć poziom zabezpieczeń, jakiego zwyczajowo wymagają instytucje finansowe z tytułu gwarancji dla udzielanych kredytów.  </w:t>
      </w:r>
    </w:p>
    <w:p w:rsidR="00AD486B" w:rsidRDefault="00CF6B9F">
      <w:pPr>
        <w:spacing w:after="120" w:line="274" w:lineRule="auto"/>
        <w:ind w:left="989" w:right="135" w:hanging="10"/>
      </w:pPr>
      <w:r>
        <w:rPr>
          <w:sz w:val="20"/>
        </w:rPr>
        <w:t xml:space="preserve">Poziom zabezpieczeń może być mierzony jako strata z tytułu niewywiązywania się z płatności (ang. </w:t>
      </w:r>
      <w:proofErr w:type="spellStart"/>
      <w:r>
        <w:rPr>
          <w:sz w:val="20"/>
        </w:rPr>
        <w:t>Loss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Given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Default</w:t>
      </w:r>
      <w:proofErr w:type="spellEnd"/>
      <w:r>
        <w:rPr>
          <w:sz w:val="20"/>
        </w:rPr>
        <w:t xml:space="preserve"> — LGD), czyli oczekiwana, wyrażona w procentach strata w łącznej kwocie kredytu dłużnika, przy uwzględnieniu możliwych do odzyskania kwot pochodzących z zabezpieczeń i masy upadłościowej; w konsekwencji LGD jest odwrotnie proporcjonalne do ważności zabezpieczeń. </w:t>
      </w:r>
    </w:p>
    <w:p w:rsidR="00AD486B" w:rsidRDefault="00CF6B9F">
      <w:pPr>
        <w:spacing w:after="120" w:line="274" w:lineRule="auto"/>
        <w:ind w:left="989" w:right="135" w:hanging="10"/>
      </w:pPr>
      <w:r>
        <w:rPr>
          <w:sz w:val="20"/>
        </w:rPr>
        <w:lastRenderedPageBreak/>
        <w:t xml:space="preserve">Dla potrzeb komunikatu przyjęto założenie, że „wysoki” poziom zabezpieczeń oznacza LGD nieprzekraczające 30 %, „standardowy” poziom zabezpieczeń — LGD między 31 % a 59 %, a „niski” poziom zabezpieczeń — LGD przekraczające lub równe 60 %.  </w:t>
      </w:r>
    </w:p>
    <w:p w:rsidR="00AD486B" w:rsidRDefault="00CF6B9F">
      <w:pPr>
        <w:spacing w:after="120" w:line="274" w:lineRule="auto"/>
        <w:ind w:left="989" w:right="135" w:hanging="10"/>
      </w:pPr>
      <w:r>
        <w:rPr>
          <w:sz w:val="20"/>
        </w:rPr>
        <w:t xml:space="preserve">W odniesieniu do kredytobiorców, którzy nie mają historii kredytowej lub ratingu opartego o podejście bilansowe, jak niektóre spółki specjalnego przeznaczenia lub nowoutworzone przedsiębiorstwa, stopa bazowa powinna być zwiększona o przynajmniej 400 punktów bazowych (zależnie od dostępnych zabezpieczeń), a marża nigdy nie może być niższa niż marża, która zostałaby zastosowana  w odniesieniu do spółki dominującej. </w:t>
      </w:r>
    </w:p>
    <w:p w:rsidR="00AD486B" w:rsidRDefault="00CF6B9F">
      <w:pPr>
        <w:spacing w:after="120" w:line="274" w:lineRule="auto"/>
        <w:ind w:left="989" w:right="135" w:hanging="10"/>
      </w:pPr>
      <w:r>
        <w:rPr>
          <w:sz w:val="20"/>
        </w:rPr>
        <w:t>Rating nie musi pochodzić z konkretnych agencji ratingowych — akceptowane są również krajowe systemy ratingowe lub systemy ratingowe stosowane przez banki w celu odzwierciedlenia wskaźników niewypłacalności.</w:t>
      </w:r>
      <w:r>
        <w:t xml:space="preserve"> </w:t>
      </w:r>
    </w:p>
    <w:p w:rsidR="00AD486B" w:rsidRDefault="00CF6B9F">
      <w:pPr>
        <w:spacing w:after="127"/>
        <w:ind w:left="987"/>
      </w:pPr>
      <w:r>
        <w:rPr>
          <w:b/>
        </w:rPr>
        <w:t>2)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na warunkach korzystniejszych niż rynkowe, </w:t>
      </w:r>
      <w:r>
        <w:t xml:space="preserve">zgodnie z zasadami udzielania pomocy de minimis, o których mowa w Rozporządzeniu Komisji  (UE) nr 1407/2013 z dnia 18 grudnia 2013 r. w sprawie stosowania art. 107 i 108 Traktatu o funkcjonowaniu Unii Europejskiej do pomocy de minimis oraz Rozporządzenia Ministra Infrastruktury i Rozwoju z dnia 19 marca 2015 r. w sprawie udzielania pomocy de minimis w ramach regionalnych programów operacyjnych na lata 2014–2020 (Dz.U. 2015 poz. 488 z późniejszymi zmianami).  </w:t>
      </w:r>
    </w:p>
    <w:p w:rsidR="00AD486B" w:rsidRDefault="00CF6B9F">
      <w:pPr>
        <w:ind w:left="994" w:firstLine="0"/>
      </w:pPr>
      <w:r>
        <w:t>Oprocentowanie Pożyczki Standardowej - Innowacyjnej udzielanej na zasadach korzystniejszych niż rynkowe jest stałe w całym okresie jej obowiązywania i ustalane jest przy zastosowaniu stopy procentowej w wysokości</w:t>
      </w:r>
      <w:r>
        <w:rPr>
          <w:b/>
        </w:rPr>
        <w:t xml:space="preserve"> stopy bazowej </w:t>
      </w:r>
      <w:r>
        <w:t xml:space="preserve">dla pożyczek udzielanych w złotych polskich z dnia udzielenia, przy czym wysokość stopy bazowej określona jest przez Komisję Europejską zgodnie z Komunikatem w sprawie zmiany metody ustalania stóp referencyjnych i dyskontowych nr 2008/C 14/02 o którym mowa w </w:t>
      </w:r>
      <w:proofErr w:type="spellStart"/>
      <w:r>
        <w:t>ppkt</w:t>
      </w:r>
      <w:proofErr w:type="spellEnd"/>
      <w:r>
        <w:t xml:space="preserve"> 1) powyżej. </w:t>
      </w:r>
    </w:p>
    <w:p w:rsidR="00AD486B" w:rsidRDefault="00CF6B9F">
      <w:pPr>
        <w:numPr>
          <w:ilvl w:val="0"/>
          <w:numId w:val="6"/>
        </w:numPr>
        <w:ind w:hanging="428"/>
      </w:pPr>
      <w:r>
        <w:t xml:space="preserve">W przypadku niespełnienia przez Ostatecznego Odbiorcę jakiegokolwiek z warunków umożliwiających udzielenie pomocy de minimis finansowanie jest udzielane na zasadach rynkowych. </w:t>
      </w:r>
    </w:p>
    <w:p w:rsidR="00AD486B" w:rsidRDefault="00CF6B9F">
      <w:pPr>
        <w:numPr>
          <w:ilvl w:val="0"/>
          <w:numId w:val="6"/>
        </w:numPr>
        <w:spacing w:after="128"/>
        <w:ind w:hanging="428"/>
      </w:pPr>
      <w:r>
        <w:t xml:space="preserve">Od środków Pożyczki Standardowej - Innowacyjnej nie pobiera się żadnych opłat i prowizji związanych z ich udostępnieniem i obsługą. Powyższe nie dotyczy odrębnie uregulowanych czynności windykacyjnych. </w:t>
      </w:r>
    </w:p>
    <w:p w:rsidR="00AD486B" w:rsidRDefault="00CF6B9F">
      <w:pPr>
        <w:spacing w:after="0" w:line="419" w:lineRule="auto"/>
        <w:ind w:left="0" w:right="9452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486B" w:rsidRDefault="00CF6B9F">
      <w:pPr>
        <w:spacing w:after="35" w:line="259" w:lineRule="auto"/>
        <w:ind w:left="-10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039747" cy="6096"/>
                <wp:effectExtent l="0" t="0" r="0" b="0"/>
                <wp:docPr id="7456" name="Group 7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9747" cy="6096"/>
                          <a:chOff x="0" y="0"/>
                          <a:chExt cx="2039747" cy="6096"/>
                        </a:xfrm>
                      </wpg:grpSpPr>
                      <wps:wsp>
                        <wps:cNvPr id="987" name="Shape 987"/>
                        <wps:cNvSpPr/>
                        <wps:spPr>
                          <a:xfrm>
                            <a:off x="0" y="0"/>
                            <a:ext cx="2039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747">
                                <a:moveTo>
                                  <a:pt x="0" y="0"/>
                                </a:moveTo>
                                <a:lnTo>
                                  <a:pt x="203974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56" style="width:160.61pt;height:0.48pt;mso-position-horizontal-relative:char;mso-position-vertical-relative:line" coordsize="20397,60">
                <v:shape id="Shape 987" style="position:absolute;width:20397;height:0;left:0;top:0;" coordsize="2039747,0" path="m0,0l2039747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D486B" w:rsidRDefault="00CF6B9F">
      <w:pPr>
        <w:spacing w:after="158" w:line="259" w:lineRule="auto"/>
        <w:ind w:left="-5" w:hanging="10"/>
        <w:jc w:val="left"/>
      </w:pPr>
      <w:r>
        <w:rPr>
          <w:sz w:val="16"/>
        </w:rPr>
        <w:t>Podpis pośrednika finansowego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D486B" w:rsidRDefault="00CF6B9F">
      <w:pPr>
        <w:spacing w:after="139" w:line="259" w:lineRule="auto"/>
        <w:ind w:left="0" w:firstLine="0"/>
        <w:jc w:val="left"/>
      </w:pPr>
      <w:r>
        <w:t xml:space="preserve"> </w:t>
      </w:r>
    </w:p>
    <w:p w:rsidR="00AD486B" w:rsidRDefault="00CF6B9F">
      <w:pPr>
        <w:spacing w:after="136" w:line="259" w:lineRule="auto"/>
        <w:ind w:left="0" w:firstLine="0"/>
        <w:jc w:val="left"/>
      </w:pPr>
      <w:r>
        <w:t xml:space="preserve"> </w:t>
      </w:r>
    </w:p>
    <w:p w:rsidR="00AD486B" w:rsidRDefault="00CF6B9F">
      <w:pPr>
        <w:spacing w:after="131"/>
        <w:ind w:left="0" w:firstLine="0"/>
      </w:pPr>
      <w:r>
        <w:t xml:space="preserve">Oświadczam, iż zapoznałem się z treścią niniejszego dokumentu: </w:t>
      </w:r>
    </w:p>
    <w:p w:rsidR="00AD486B" w:rsidRDefault="00CF6B9F">
      <w:pPr>
        <w:spacing w:after="0" w:line="419" w:lineRule="auto"/>
        <w:ind w:left="0" w:right="9452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486B" w:rsidRDefault="00CF6B9F">
      <w:pPr>
        <w:spacing w:after="35" w:line="259" w:lineRule="auto"/>
        <w:ind w:left="-10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039747" cy="6096"/>
                <wp:effectExtent l="0" t="0" r="0" b="0"/>
                <wp:docPr id="7458" name="Group 7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9747" cy="6096"/>
                          <a:chOff x="0" y="0"/>
                          <a:chExt cx="2039747" cy="6096"/>
                        </a:xfrm>
                      </wpg:grpSpPr>
                      <wps:wsp>
                        <wps:cNvPr id="998" name="Shape 998"/>
                        <wps:cNvSpPr/>
                        <wps:spPr>
                          <a:xfrm>
                            <a:off x="0" y="0"/>
                            <a:ext cx="2039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747">
                                <a:moveTo>
                                  <a:pt x="0" y="0"/>
                                </a:moveTo>
                                <a:lnTo>
                                  <a:pt x="203974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58" style="width:160.61pt;height:0.48pt;mso-position-horizontal-relative:char;mso-position-vertical-relative:line" coordsize="20397,60">
                <v:shape id="Shape 998" style="position:absolute;width:20397;height:0;left:0;top:0;" coordsize="2039747,0" path="m0,0l2039747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D486B" w:rsidRDefault="00CF6B9F" w:rsidP="00AA60B3">
      <w:pPr>
        <w:spacing w:after="158" w:line="259" w:lineRule="auto"/>
        <w:ind w:left="-5" w:hanging="10"/>
        <w:jc w:val="left"/>
      </w:pPr>
      <w:r>
        <w:rPr>
          <w:sz w:val="16"/>
        </w:rPr>
        <w:t>Podpis pożyczkobiorcy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sectPr w:rsidR="00AD4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57" w:right="1128" w:bottom="1660" w:left="1277" w:header="566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4E" w:rsidRDefault="0031574E">
      <w:pPr>
        <w:spacing w:after="0" w:line="240" w:lineRule="auto"/>
      </w:pPr>
      <w:r>
        <w:separator/>
      </w:r>
    </w:p>
  </w:endnote>
  <w:endnote w:type="continuationSeparator" w:id="0">
    <w:p w:rsidR="0031574E" w:rsidRDefault="0031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86B" w:rsidRDefault="00CF6B9F">
    <w:pPr>
      <w:spacing w:after="0" w:line="259" w:lineRule="auto"/>
      <w:ind w:left="0" w:right="2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946404</wp:posOffset>
          </wp:positionH>
          <wp:positionV relativeFrom="page">
            <wp:posOffset>9800844</wp:posOffset>
          </wp:positionV>
          <wp:extent cx="5750053" cy="370332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0053" cy="37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5</w:t>
    </w:r>
    <w:r>
      <w:rPr>
        <w:b/>
      </w:rPr>
      <w:fldChar w:fldCharType="end"/>
    </w:r>
    <w:r>
      <w:t xml:space="preserve"> </w:t>
    </w:r>
  </w:p>
  <w:p w:rsidR="00AD486B" w:rsidRDefault="00CF6B9F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F8B" w:rsidRDefault="004C2F8B" w:rsidP="004C2F8B">
    <w:pPr>
      <w:spacing w:after="0" w:line="259" w:lineRule="auto"/>
      <w:ind w:left="0" w:right="2" w:firstLine="0"/>
    </w:pPr>
  </w:p>
  <w:p w:rsidR="004C2F8B" w:rsidRDefault="00CF6B9F" w:rsidP="004C2F8B">
    <w:pPr>
      <w:pStyle w:val="Stopka"/>
      <w:jc w:val="center"/>
      <w:rPr>
        <w:b/>
        <w:sz w:val="14"/>
        <w:szCs w:val="14"/>
      </w:rPr>
    </w:pPr>
    <w:r>
      <w:t xml:space="preserve"> </w:t>
    </w:r>
    <w:r w:rsidR="004C2F8B" w:rsidRPr="004103D0">
      <w:rPr>
        <w:noProof/>
      </w:rPr>
      <w:drawing>
        <wp:inline distT="0" distB="0" distL="0" distR="0">
          <wp:extent cx="5762625" cy="6858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Hlk525893017"/>
    <w:r w:rsidR="004C2F8B" w:rsidRPr="006B46FF">
      <w:rPr>
        <w:noProof/>
        <w:sz w:val="20"/>
        <w:szCs w:val="20"/>
      </w:rPr>
      <w:t xml:space="preserve"> </w:t>
    </w:r>
    <w:r w:rsidR="004C2F8B" w:rsidRPr="004D7E9E">
      <w:rPr>
        <w:b/>
        <w:sz w:val="14"/>
        <w:szCs w:val="14"/>
      </w:rPr>
      <w:t>Instrument Finansowy – Pożyczka Standardowa</w:t>
    </w:r>
    <w:r w:rsidR="004C2F8B">
      <w:rPr>
        <w:b/>
        <w:sz w:val="14"/>
        <w:szCs w:val="14"/>
      </w:rPr>
      <w:t xml:space="preserve"> – Innowacyjna 1</w:t>
    </w:r>
  </w:p>
  <w:p w:rsidR="004C2F8B" w:rsidRDefault="004C2F8B" w:rsidP="004C2F8B">
    <w:pPr>
      <w:pStyle w:val="Stopka"/>
      <w:jc w:val="center"/>
    </w:pPr>
    <w:r w:rsidRPr="004D7E9E">
      <w:rPr>
        <w:b/>
        <w:sz w:val="14"/>
        <w:szCs w:val="14"/>
      </w:rPr>
      <w:t xml:space="preserve">finansowany ze środków Regionalnego Programu Operacyjnego Województwa Podkarpackiego na lata 2014 - 2020 </w:t>
    </w:r>
    <w:r>
      <w:rPr>
        <w:b/>
        <w:sz w:val="14"/>
        <w:szCs w:val="14"/>
      </w:rPr>
      <w:t>współfinansowanego z Europejskiego Funduszu Rozwoju Regionalnego oraz budżetu państwa</w:t>
    </w:r>
    <w:bookmarkEnd w:id="1"/>
  </w:p>
  <w:p w:rsidR="00AD486B" w:rsidRDefault="00AD486B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86B" w:rsidRDefault="00CF6B9F">
    <w:pPr>
      <w:spacing w:after="0" w:line="259" w:lineRule="auto"/>
      <w:ind w:left="0" w:right="2" w:firstLine="0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946404</wp:posOffset>
          </wp:positionH>
          <wp:positionV relativeFrom="page">
            <wp:posOffset>9800844</wp:posOffset>
          </wp:positionV>
          <wp:extent cx="5750053" cy="370332"/>
          <wp:effectExtent l="0" t="0" r="0" b="0"/>
          <wp:wrapSquare wrapText="bothSides"/>
          <wp:docPr id="6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0053" cy="37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5</w:t>
    </w:r>
    <w:r>
      <w:rPr>
        <w:b/>
      </w:rPr>
      <w:fldChar w:fldCharType="end"/>
    </w:r>
    <w:r>
      <w:t xml:space="preserve"> </w:t>
    </w:r>
  </w:p>
  <w:p w:rsidR="00AD486B" w:rsidRDefault="00CF6B9F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4E" w:rsidRDefault="0031574E">
      <w:pPr>
        <w:spacing w:after="0" w:line="240" w:lineRule="auto"/>
      </w:pPr>
      <w:r>
        <w:separator/>
      </w:r>
    </w:p>
  </w:footnote>
  <w:footnote w:type="continuationSeparator" w:id="0">
    <w:p w:rsidR="0031574E" w:rsidRDefault="0031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86B" w:rsidRDefault="00CF6B9F">
    <w:pPr>
      <w:spacing w:after="0" w:line="259" w:lineRule="auto"/>
      <w:ind w:left="0" w:right="37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810768</wp:posOffset>
          </wp:positionH>
          <wp:positionV relativeFrom="page">
            <wp:posOffset>359664</wp:posOffset>
          </wp:positionV>
          <wp:extent cx="1511808" cy="233172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808" cy="233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5551932</wp:posOffset>
          </wp:positionH>
          <wp:positionV relativeFrom="page">
            <wp:posOffset>361188</wp:posOffset>
          </wp:positionV>
          <wp:extent cx="1018032" cy="231648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8032" cy="231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86B" w:rsidRDefault="004C2F8B">
    <w:pPr>
      <w:spacing w:after="0" w:line="259" w:lineRule="auto"/>
      <w:ind w:left="0" w:right="378" w:firstLine="0"/>
      <w:jc w:val="right"/>
    </w:pPr>
    <w:r>
      <w:rPr>
        <w:noProof/>
      </w:rPr>
      <w:drawing>
        <wp:inline distT="0" distB="0" distL="0" distR="0" wp14:anchorId="2D17BC8E">
          <wp:extent cx="5771515" cy="419100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6B9F">
      <w:t xml:space="preserve"> </w:t>
    </w:r>
    <w:r w:rsidR="00CF6B9F">
      <w:tab/>
      <w:t xml:space="preserve"> </w:t>
    </w:r>
    <w:r w:rsidR="00CF6B9F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86B" w:rsidRDefault="00CF6B9F">
    <w:pPr>
      <w:spacing w:after="0" w:line="259" w:lineRule="auto"/>
      <w:ind w:left="0" w:right="378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810768</wp:posOffset>
          </wp:positionH>
          <wp:positionV relativeFrom="page">
            <wp:posOffset>359664</wp:posOffset>
          </wp:positionV>
          <wp:extent cx="1511808" cy="233172"/>
          <wp:effectExtent l="0" t="0" r="0" b="0"/>
          <wp:wrapSquare wrapText="bothSides"/>
          <wp:docPr id="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808" cy="233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5551932</wp:posOffset>
          </wp:positionH>
          <wp:positionV relativeFrom="page">
            <wp:posOffset>361188</wp:posOffset>
          </wp:positionV>
          <wp:extent cx="1018032" cy="231648"/>
          <wp:effectExtent l="0" t="0" r="0" b="0"/>
          <wp:wrapSquare wrapText="bothSides"/>
          <wp:docPr id="4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8032" cy="231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A2A"/>
    <w:multiLevelType w:val="hybridMultilevel"/>
    <w:tmpl w:val="7076FE4C"/>
    <w:lvl w:ilvl="0" w:tplc="38ACAA54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78DD6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A05CB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28C6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46C55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CED2E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015F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C1DF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44E4D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FC6364"/>
    <w:multiLevelType w:val="hybridMultilevel"/>
    <w:tmpl w:val="590440DA"/>
    <w:lvl w:ilvl="0" w:tplc="3E04A516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C2C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E46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9022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609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EA6F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8C4C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276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050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58296D"/>
    <w:multiLevelType w:val="hybridMultilevel"/>
    <w:tmpl w:val="FEA4A35A"/>
    <w:lvl w:ilvl="0" w:tplc="3FF0264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E24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E4F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AA3E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875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7EDE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2611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47F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EAD9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AD19AF"/>
    <w:multiLevelType w:val="hybridMultilevel"/>
    <w:tmpl w:val="F49241C4"/>
    <w:lvl w:ilvl="0" w:tplc="85DE35C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07E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27C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CAC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CC6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63F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A20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9A1D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38AF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2A2291"/>
    <w:multiLevelType w:val="hybridMultilevel"/>
    <w:tmpl w:val="AC0A871E"/>
    <w:lvl w:ilvl="0" w:tplc="17127D46">
      <w:start w:val="1"/>
      <w:numFmt w:val="decimal"/>
      <w:lvlText w:val="%1.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64D794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AC45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C2D9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D8F8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0D2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EEA7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382A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BA5E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3630D6"/>
    <w:multiLevelType w:val="hybridMultilevel"/>
    <w:tmpl w:val="9E64F800"/>
    <w:lvl w:ilvl="0" w:tplc="E354CC2E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6B8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CADD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D2C2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CCBE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54D0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28B0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A47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CD1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1B4FF7"/>
    <w:multiLevelType w:val="hybridMultilevel"/>
    <w:tmpl w:val="1C9E2976"/>
    <w:lvl w:ilvl="0" w:tplc="0214153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B261E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022AC">
      <w:start w:val="1"/>
      <w:numFmt w:val="bullet"/>
      <w:lvlText w:val="▪"/>
      <w:lvlJc w:val="left"/>
      <w:pPr>
        <w:ind w:left="2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8A5484">
      <w:start w:val="1"/>
      <w:numFmt w:val="bullet"/>
      <w:lvlText w:val="•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47BD6">
      <w:start w:val="1"/>
      <w:numFmt w:val="bullet"/>
      <w:lvlText w:val="o"/>
      <w:lvlJc w:val="left"/>
      <w:pPr>
        <w:ind w:left="3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FA3F9E">
      <w:start w:val="1"/>
      <w:numFmt w:val="bullet"/>
      <w:lvlText w:val="▪"/>
      <w:lvlJc w:val="left"/>
      <w:pPr>
        <w:ind w:left="4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780B30">
      <w:start w:val="1"/>
      <w:numFmt w:val="bullet"/>
      <w:lvlText w:val="•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01D9E">
      <w:start w:val="1"/>
      <w:numFmt w:val="bullet"/>
      <w:lvlText w:val="o"/>
      <w:lvlJc w:val="left"/>
      <w:pPr>
        <w:ind w:left="5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83C50">
      <w:start w:val="1"/>
      <w:numFmt w:val="bullet"/>
      <w:lvlText w:val="▪"/>
      <w:lvlJc w:val="left"/>
      <w:pPr>
        <w:ind w:left="6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6B"/>
    <w:rsid w:val="0031574E"/>
    <w:rsid w:val="004C2F8B"/>
    <w:rsid w:val="00AA60B3"/>
    <w:rsid w:val="00AD486B"/>
    <w:rsid w:val="00CF6B9F"/>
    <w:rsid w:val="00F3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BC2F0"/>
  <w15:docId w15:val="{4911C79A-DEAC-43B9-BF5D-1DA2A68E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2" w:line="268" w:lineRule="auto"/>
      <w:ind w:left="435" w:hanging="43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7"/>
      </w:numPr>
      <w:spacing w:after="165" w:line="266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C2F8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C2F8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stopa_referencyjna_i_archiwum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c.europa.eu/competition/state_aid/legislation/reference_rate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1676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Baczewski, Jacek</dc:creator>
  <cp:keywords/>
  <cp:lastModifiedBy>Grzegorz Puć</cp:lastModifiedBy>
  <cp:revision>6</cp:revision>
  <dcterms:created xsi:type="dcterms:W3CDTF">2018-11-14T08:39:00Z</dcterms:created>
  <dcterms:modified xsi:type="dcterms:W3CDTF">2018-11-14T08:49:00Z</dcterms:modified>
</cp:coreProperties>
</file>